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563" w14:textId="77777777" w:rsidR="0030315B" w:rsidRPr="00055878" w:rsidRDefault="00D25DBA">
      <w:pPr>
        <w:spacing w:after="524" w:line="259" w:lineRule="auto"/>
        <w:ind w:left="0" w:right="12" w:firstLine="0"/>
        <w:jc w:val="center"/>
        <w:rPr>
          <w:lang w:val="hu-HU"/>
        </w:rPr>
      </w:pPr>
      <w:r w:rsidRPr="00055878">
        <w:rPr>
          <w:b/>
          <w:sz w:val="28"/>
          <w:lang w:val="hu-HU"/>
        </w:rPr>
        <w:t>HATÁROZAT</w:t>
      </w:r>
    </w:p>
    <w:p w14:paraId="754F55A2" w14:textId="77777777" w:rsidR="0030315B" w:rsidRPr="00055878" w:rsidRDefault="00D25DBA">
      <w:pPr>
        <w:spacing w:after="1032" w:line="238" w:lineRule="auto"/>
        <w:ind w:left="0" w:right="0" w:firstLine="0"/>
        <w:jc w:val="center"/>
        <w:rPr>
          <w:lang w:val="hu-HU"/>
        </w:rPr>
      </w:pPr>
      <w:r w:rsidRPr="00055878">
        <w:rPr>
          <w:b/>
          <w:lang w:val="hu-HU"/>
        </w:rPr>
        <w:t>az erdélyi magyar nemzeti közösség személyi elvű (kulturális) autonómiájának közjogi kereteit megteremtő törvénytervezetek Románia parlamentje elé terjesztéséről</w:t>
      </w:r>
    </w:p>
    <w:p w14:paraId="7F950C8D" w14:textId="77777777" w:rsidR="0030315B" w:rsidRPr="00055878" w:rsidRDefault="00D25DBA">
      <w:pPr>
        <w:spacing w:after="36"/>
        <w:ind w:left="-5" w:right="0"/>
        <w:rPr>
          <w:lang w:val="hu-HU"/>
        </w:rPr>
      </w:pPr>
      <w:r w:rsidRPr="00055878">
        <w:rPr>
          <w:lang w:val="hu-HU"/>
        </w:rPr>
        <w:t xml:space="preserve">Azon meggyőződés által vezérelve, hogy az </w:t>
      </w:r>
      <w:proofErr w:type="gramStart"/>
      <w:r w:rsidRPr="00055878">
        <w:rPr>
          <w:lang w:val="hu-HU"/>
        </w:rPr>
        <w:t>Erdélyben  számbeli</w:t>
      </w:r>
      <w:proofErr w:type="gramEnd"/>
      <w:r w:rsidRPr="00055878">
        <w:rPr>
          <w:lang w:val="hu-HU"/>
        </w:rPr>
        <w:t xml:space="preserve"> kisebbségben élő magyar nemzeti közösség önazonosságának védelmére a jelenlegi román nemzetállami keretben csak </w:t>
      </w:r>
      <w:r w:rsidRPr="00055878">
        <w:rPr>
          <w:b/>
          <w:lang w:val="hu-HU"/>
        </w:rPr>
        <w:t>a személyi elvű  autonómia intézményrendszere jelent hosszú távú közjogi megoldást</w:t>
      </w:r>
      <w:r w:rsidRPr="00055878">
        <w:rPr>
          <w:lang w:val="hu-HU"/>
        </w:rPr>
        <w:t>;  tudatában annak, hogy a kulturális autonómia az Európai Unió több tagországában</w:t>
      </w:r>
      <w:bookmarkStart w:id="0" w:name="_GoBack"/>
      <w:bookmarkEnd w:id="0"/>
    </w:p>
    <w:p w14:paraId="140F8239" w14:textId="77777777" w:rsidR="0030315B" w:rsidRPr="00055878" w:rsidRDefault="00D25DBA" w:rsidP="00055878">
      <w:pPr>
        <w:ind w:left="0" w:right="0" w:firstLine="0"/>
        <w:rPr>
          <w:lang w:val="hu-HU"/>
        </w:rPr>
      </w:pPr>
      <w:r w:rsidRPr="00055878">
        <w:rPr>
          <w:lang w:val="hu-HU"/>
        </w:rPr>
        <w:t xml:space="preserve">elfogadott, </w:t>
      </w:r>
      <w:r w:rsidRPr="00055878">
        <w:rPr>
          <w:b/>
          <w:lang w:val="hu-HU"/>
        </w:rPr>
        <w:t>működő gyakorlat és hatékony eszköz</w:t>
      </w:r>
      <w:r w:rsidRPr="00055878">
        <w:rPr>
          <w:lang w:val="hu-HU"/>
        </w:rPr>
        <w:t xml:space="preserve"> a többségi nemzet és a számbeli kisebbségben élő nemzeti közösségek közötti feszültségek megelőzésére;  felismerve, hogy az E</w:t>
      </w:r>
      <w:r w:rsidRPr="00055878">
        <w:rPr>
          <w:lang w:val="hu-HU"/>
        </w:rPr>
        <w:t xml:space="preserve">rdélyt is magába foglaló mai Románia kialakulása szempontjából Bukarest által legfontosabb legitimációs eszköznek tekintett Gyulafehérvári Nagygyűlés 100. évfordulóján az erdélyi magyar politikai érdekképviselet kötelessége </w:t>
      </w:r>
      <w:r w:rsidRPr="00055878">
        <w:rPr>
          <w:b/>
          <w:lang w:val="hu-HU"/>
        </w:rPr>
        <w:t>ismételten és határozottan felmu</w:t>
      </w:r>
      <w:r w:rsidRPr="00055878">
        <w:rPr>
          <w:b/>
          <w:lang w:val="hu-HU"/>
        </w:rPr>
        <w:t xml:space="preserve">tatni azt a  közjogi megoldást </w:t>
      </w:r>
      <w:r w:rsidRPr="00055878">
        <w:rPr>
          <w:lang w:val="hu-HU"/>
        </w:rPr>
        <w:t>– a közösségi autonómiák intézményrendszerét –, amelyet a Gyulafehérvári Nyilatkozat is tartalmaz; elfogadva irányadónak az Erdélyi Magyar Nemzeti Tanács szakértői műhelyében készült, a Tanács plenárisa által jóváhagyott és 2</w:t>
      </w:r>
      <w:r w:rsidRPr="00055878">
        <w:rPr>
          <w:lang w:val="hu-HU"/>
        </w:rPr>
        <w:t xml:space="preserve">004-ben öt magyar képviselő (Kovács Zoltán, Pécsi Ferenc, Szilágyi Zsolt és </w:t>
      </w:r>
      <w:proofErr w:type="spellStart"/>
      <w:r w:rsidRPr="00055878">
        <w:rPr>
          <w:lang w:val="hu-HU"/>
        </w:rPr>
        <w:t>Toró</w:t>
      </w:r>
      <w:proofErr w:type="spellEnd"/>
      <w:r w:rsidRPr="00055878">
        <w:rPr>
          <w:lang w:val="hu-HU"/>
        </w:rPr>
        <w:t xml:space="preserve"> T. Tibor képviselők, valamint Sógor Csaba szenátor) által benyújtott két törvénytervezetet – az egyik </w:t>
      </w:r>
      <w:r w:rsidRPr="00055878">
        <w:rPr>
          <w:b/>
          <w:lang w:val="hu-HU"/>
        </w:rPr>
        <w:t>„A nemzeti közösségek személyi elvű autonómiájának kerettörvénye</w:t>
      </w:r>
      <w:r w:rsidRPr="00055878">
        <w:rPr>
          <w:b/>
          <w:sz w:val="22"/>
          <w:vertAlign w:val="superscript"/>
          <w:lang w:val="hu-HU"/>
        </w:rPr>
        <w:footnoteReference w:id="1"/>
      </w:r>
      <w:r w:rsidRPr="00055878">
        <w:rPr>
          <w:lang w:val="hu-HU"/>
        </w:rPr>
        <w:t xml:space="preserve"> (a tová</w:t>
      </w:r>
      <w:r w:rsidRPr="00055878">
        <w:rPr>
          <w:lang w:val="hu-HU"/>
        </w:rPr>
        <w:t xml:space="preserve">bbiakban </w:t>
      </w:r>
      <w:r w:rsidRPr="00055878">
        <w:rPr>
          <w:b/>
          <w:lang w:val="hu-HU"/>
        </w:rPr>
        <w:t>Kerettörvény</w:t>
      </w:r>
      <w:r w:rsidRPr="00055878">
        <w:rPr>
          <w:lang w:val="hu-HU"/>
        </w:rPr>
        <w:t>)”, a másik pedig az erre támaszkodó és konkrétan az erdélyi magyar közösségre alkalmazott törvénykezdeményezés, „</w:t>
      </w:r>
      <w:r w:rsidRPr="00055878">
        <w:rPr>
          <w:b/>
          <w:lang w:val="hu-HU"/>
        </w:rPr>
        <w:t>A romániai magyar nemzeti közösség személyi elvű autonómiájának statútuma”</w:t>
      </w:r>
      <w:r w:rsidRPr="00055878">
        <w:rPr>
          <w:b/>
          <w:sz w:val="22"/>
          <w:vertAlign w:val="superscript"/>
          <w:lang w:val="hu-HU"/>
        </w:rPr>
        <w:footnoteReference w:id="2"/>
      </w:r>
      <w:r w:rsidRPr="00055878">
        <w:rPr>
          <w:lang w:val="hu-HU"/>
        </w:rPr>
        <w:t xml:space="preserve"> (a továbbiakban </w:t>
      </w:r>
      <w:r w:rsidRPr="00055878">
        <w:rPr>
          <w:b/>
          <w:lang w:val="hu-HU"/>
        </w:rPr>
        <w:t>Statútum</w:t>
      </w:r>
      <w:r w:rsidRPr="00055878">
        <w:rPr>
          <w:lang w:val="hu-HU"/>
        </w:rPr>
        <w:t>) – amelyek sem érvén</w:t>
      </w:r>
      <w:r w:rsidRPr="00055878">
        <w:rPr>
          <w:lang w:val="hu-HU"/>
        </w:rPr>
        <w:t>yességükből, sem időszerűségükből nem vesztettek az eltelt közel 15 év alatt; ismételten egyetértve az autonómiapárti politikai tábor, valamint az erdélyi magyar történelmi egyházak vezetői és a politológusi szakma mértékadó képviselői által 2005-ben megfo</w:t>
      </w:r>
      <w:r w:rsidRPr="00055878">
        <w:rPr>
          <w:lang w:val="hu-HU"/>
        </w:rPr>
        <w:t>galmazott bírálatokkal, amelyek elfogadhatatlannak minősítették a román kormány által a Parlament elé terjesztett, „</w:t>
      </w:r>
      <w:r w:rsidRPr="00055878">
        <w:rPr>
          <w:b/>
          <w:lang w:val="hu-HU"/>
        </w:rPr>
        <w:t xml:space="preserve">a nemzeti kisebbségek jogaira” </w:t>
      </w:r>
      <w:r w:rsidRPr="00055878">
        <w:rPr>
          <w:lang w:val="hu-HU"/>
        </w:rPr>
        <w:t>vonatkozó törvénytervezetet, különös tekintettel annak a „kulturális autonómia” címet viselő fejezetét és ann</w:t>
      </w:r>
      <w:r w:rsidRPr="00055878">
        <w:rPr>
          <w:lang w:val="hu-HU"/>
        </w:rPr>
        <w:t xml:space="preserve">ak visszavonására szólítottak fel; </w:t>
      </w:r>
    </w:p>
    <w:p w14:paraId="32038812" w14:textId="77777777" w:rsidR="0030315B" w:rsidRPr="00055878" w:rsidRDefault="00D25DBA">
      <w:pPr>
        <w:spacing w:after="436" w:line="238" w:lineRule="auto"/>
        <w:ind w:left="0" w:right="20" w:firstLine="720"/>
        <w:rPr>
          <w:lang w:val="hu-HU"/>
        </w:rPr>
      </w:pPr>
      <w:r w:rsidRPr="00055878">
        <w:rPr>
          <w:lang w:val="hu-HU"/>
        </w:rPr>
        <w:t xml:space="preserve">bizakodóan tekintve a három erdélyi magyar politikai párt által ez év január 8-án, a Kolozsvári Nyilatkozat 25. évfordulója alkalmából elfogadott közös dokumentumban foglaltakra, miszerint </w:t>
      </w:r>
      <w:r w:rsidRPr="00055878">
        <w:rPr>
          <w:b/>
          <w:i/>
          <w:lang w:val="hu-HU"/>
        </w:rPr>
        <w:t>„</w:t>
      </w:r>
      <w:r w:rsidRPr="00055878">
        <w:rPr>
          <w:b/>
          <w:i/>
          <w:color w:val="1F1F1F"/>
          <w:lang w:val="hu-HU"/>
        </w:rPr>
        <w:t>a kulturális autonómia az erdé</w:t>
      </w:r>
      <w:r w:rsidRPr="00055878">
        <w:rPr>
          <w:b/>
          <w:i/>
          <w:color w:val="1F1F1F"/>
          <w:lang w:val="hu-HU"/>
        </w:rPr>
        <w:t xml:space="preserve">lyi magyarok összességének önkormányzatát jelenti az oktatás, kultúra, tájékoztatás terén, valamint azokon a területeken, amelyek a nemzeti identitás </w:t>
      </w:r>
      <w:r w:rsidRPr="00055878">
        <w:rPr>
          <w:b/>
          <w:i/>
          <w:color w:val="1F1F1F"/>
          <w:lang w:val="hu-HU"/>
        </w:rPr>
        <w:lastRenderedPageBreak/>
        <w:t xml:space="preserve">megőrzése és továbbadása, a közművelődés fejlesztése szempontjából </w:t>
      </w:r>
      <w:proofErr w:type="spellStart"/>
      <w:r w:rsidRPr="00055878">
        <w:rPr>
          <w:b/>
          <w:i/>
          <w:color w:val="1F1F1F"/>
          <w:lang w:val="hu-HU"/>
        </w:rPr>
        <w:t>meghatározóak</w:t>
      </w:r>
      <w:proofErr w:type="spellEnd"/>
      <w:r w:rsidRPr="00055878">
        <w:rPr>
          <w:b/>
          <w:i/>
          <w:color w:val="1F1F1F"/>
          <w:lang w:val="hu-HU"/>
        </w:rPr>
        <w:t>”</w:t>
      </w:r>
      <w:r w:rsidRPr="00055878">
        <w:rPr>
          <w:color w:val="1F1F1F"/>
          <w:lang w:val="hu-HU"/>
        </w:rPr>
        <w:t>, illetve „</w:t>
      </w:r>
      <w:r w:rsidRPr="00055878">
        <w:rPr>
          <w:b/>
          <w:i/>
          <w:color w:val="1F1F1F"/>
          <w:lang w:val="hu-HU"/>
        </w:rPr>
        <w:t>a kulturális a</w:t>
      </w:r>
      <w:r w:rsidRPr="00055878">
        <w:rPr>
          <w:b/>
          <w:i/>
          <w:color w:val="1F1F1F"/>
          <w:lang w:val="hu-HU"/>
        </w:rPr>
        <w:t>utonómia alapvető közösségi jog, ennek törvény általi elismertetése és intézményrendszerének kiépítése az egyetlen életképes megoldás Erdély különböző régióiban számbeli kisebbségben – helyenként szórványban – elő közösségeink nemzeti identitásának megtart</w:t>
      </w:r>
      <w:r w:rsidRPr="00055878">
        <w:rPr>
          <w:b/>
          <w:i/>
          <w:color w:val="1F1F1F"/>
          <w:lang w:val="hu-HU"/>
        </w:rPr>
        <w:t>ására és szülőföldjén való boldogulására”;</w:t>
      </w:r>
    </w:p>
    <w:p w14:paraId="4C87D954" w14:textId="77777777" w:rsidR="0030315B" w:rsidRPr="00055878" w:rsidRDefault="00D25DBA">
      <w:pPr>
        <w:ind w:left="-15" w:right="0" w:firstLine="720"/>
        <w:rPr>
          <w:lang w:val="hu-HU"/>
        </w:rPr>
      </w:pPr>
      <w:r w:rsidRPr="00055878">
        <w:rPr>
          <w:lang w:val="hu-HU"/>
        </w:rPr>
        <w:t>az Erdélyi Magyar Nemzeti Tanács és a Székely Nemzeti Tanács Együttes Küldöttgyűlése kimondja:</w:t>
      </w:r>
    </w:p>
    <w:p w14:paraId="12A94D9A" w14:textId="77777777" w:rsidR="0030315B" w:rsidRPr="00055878" w:rsidRDefault="00D25DBA">
      <w:pPr>
        <w:numPr>
          <w:ilvl w:val="0"/>
          <w:numId w:val="1"/>
        </w:numPr>
        <w:spacing w:after="0" w:line="241" w:lineRule="auto"/>
        <w:ind w:right="8" w:hanging="360"/>
        <w:rPr>
          <w:lang w:val="hu-HU"/>
        </w:rPr>
      </w:pPr>
      <w:r w:rsidRPr="00055878">
        <w:rPr>
          <w:b/>
          <w:lang w:val="hu-HU"/>
        </w:rPr>
        <w:t>Stratégiai fontosságú, hogy a Centenárium évében a Gyulafehérvári Nyilatkozatban is megígért kulturális autonómia törv</w:t>
      </w:r>
      <w:r w:rsidRPr="00055878">
        <w:rPr>
          <w:b/>
          <w:lang w:val="hu-HU"/>
        </w:rPr>
        <w:t>énytervezet formájában a román politikai nyilvánosság elé kerüljön.</w:t>
      </w:r>
    </w:p>
    <w:p w14:paraId="0412B782" w14:textId="77777777" w:rsidR="0030315B" w:rsidRPr="00055878" w:rsidRDefault="00D25DBA">
      <w:pPr>
        <w:numPr>
          <w:ilvl w:val="0"/>
          <w:numId w:val="1"/>
        </w:numPr>
        <w:spacing w:after="0" w:line="241" w:lineRule="auto"/>
        <w:ind w:right="8" w:hanging="360"/>
        <w:rPr>
          <w:lang w:val="hu-HU"/>
        </w:rPr>
      </w:pPr>
      <w:r w:rsidRPr="00055878">
        <w:rPr>
          <w:b/>
          <w:lang w:val="hu-HU"/>
        </w:rPr>
        <w:t>Felszólítja a három erdélyi magyar politikai érdekképviseleti szervezetet, hogy a fenti dokumentumokat – a Kerettörvényt és a Statútumot – alapul véve mielőbb kezdjék el az egyeztetést a s</w:t>
      </w:r>
      <w:r w:rsidRPr="00055878">
        <w:rPr>
          <w:b/>
          <w:lang w:val="hu-HU"/>
        </w:rPr>
        <w:t>zemélyi elvű autonómia közjogi kereteit megteremtő jogszabályok tartalmáról, formájáról és Románia Parlamentje elé terjesztésének módjáról.</w:t>
      </w:r>
    </w:p>
    <w:p w14:paraId="5D16B04B" w14:textId="77777777" w:rsidR="0030315B" w:rsidRPr="00055878" w:rsidRDefault="00D25DBA">
      <w:pPr>
        <w:numPr>
          <w:ilvl w:val="0"/>
          <w:numId w:val="1"/>
        </w:numPr>
        <w:spacing w:after="1029" w:line="241" w:lineRule="auto"/>
        <w:ind w:right="8" w:hanging="360"/>
        <w:rPr>
          <w:lang w:val="hu-HU"/>
        </w:rPr>
      </w:pPr>
      <w:r w:rsidRPr="00055878">
        <w:rPr>
          <w:b/>
          <w:lang w:val="hu-HU"/>
        </w:rPr>
        <w:t xml:space="preserve">A tömbben, illetve a regionálisan is számbeli kisebbségben élő magyarok egymásrautaltsága és szolidaritása jegyében </w:t>
      </w:r>
      <w:r w:rsidRPr="00055878">
        <w:rPr>
          <w:b/>
          <w:lang w:val="hu-HU"/>
        </w:rPr>
        <w:t>az Erdélyi Magyar Nemzeti Tanács és a Székely Nemzeti Tanács szervezetei közös politikai és szervezési támogatásukról biztosítják a kezdeményezést.</w:t>
      </w:r>
    </w:p>
    <w:p w14:paraId="4A7624AE" w14:textId="77777777" w:rsidR="0030315B" w:rsidRPr="00055878" w:rsidRDefault="00D25DBA">
      <w:pPr>
        <w:ind w:left="-5" w:right="0"/>
        <w:rPr>
          <w:lang w:val="hu-HU"/>
        </w:rPr>
      </w:pPr>
      <w:r w:rsidRPr="00055878">
        <w:rPr>
          <w:lang w:val="hu-HU"/>
        </w:rPr>
        <w:t>Elfogadta</w:t>
      </w:r>
    </w:p>
    <w:p w14:paraId="316A1595" w14:textId="77777777" w:rsidR="0030315B" w:rsidRPr="00055878" w:rsidRDefault="00D25DBA">
      <w:pPr>
        <w:ind w:left="-5" w:right="0"/>
        <w:rPr>
          <w:lang w:val="hu-HU"/>
        </w:rPr>
      </w:pPr>
      <w:r w:rsidRPr="00055878">
        <w:rPr>
          <w:lang w:val="hu-HU"/>
        </w:rPr>
        <w:t>az Erdélyi Magyar Nemzeti Tanács és a Székely Nemzeti Tanács Együttes Küldöttgyűlése</w:t>
      </w:r>
    </w:p>
    <w:p w14:paraId="4DCABDF5" w14:textId="77777777" w:rsidR="0030315B" w:rsidRPr="00055878" w:rsidRDefault="00D25DBA">
      <w:pPr>
        <w:ind w:left="-5" w:right="0"/>
        <w:rPr>
          <w:lang w:val="hu-HU"/>
        </w:rPr>
      </w:pPr>
      <w:r w:rsidRPr="00055878">
        <w:rPr>
          <w:lang w:val="hu-HU"/>
        </w:rPr>
        <w:t>Marosvásárhel</w:t>
      </w:r>
      <w:r w:rsidRPr="00055878">
        <w:rPr>
          <w:lang w:val="hu-HU"/>
        </w:rPr>
        <w:t>yen, 2018. október 27-én</w:t>
      </w:r>
    </w:p>
    <w:sectPr w:rsidR="0030315B" w:rsidRPr="00055878">
      <w:headerReference w:type="default" r:id="rId7"/>
      <w:footnotePr>
        <w:numRestart w:val="eachPage"/>
      </w:footnotePr>
      <w:pgSz w:w="12240" w:h="15840"/>
      <w:pgMar w:top="1450" w:right="1425" w:bottom="1441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BA45" w14:textId="77777777" w:rsidR="00D25DBA" w:rsidRDefault="00D25DBA">
      <w:pPr>
        <w:spacing w:after="0" w:line="240" w:lineRule="auto"/>
      </w:pPr>
      <w:r>
        <w:separator/>
      </w:r>
    </w:p>
  </w:endnote>
  <w:endnote w:type="continuationSeparator" w:id="0">
    <w:p w14:paraId="26B9A836" w14:textId="77777777" w:rsidR="00D25DBA" w:rsidRDefault="00D2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486E" w14:textId="77777777" w:rsidR="00D25DBA" w:rsidRDefault="00D25DBA">
      <w:pPr>
        <w:tabs>
          <w:tab w:val="center" w:pos="3023"/>
        </w:tabs>
        <w:spacing w:after="19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E55D76A" w14:textId="77777777" w:rsidR="00D25DBA" w:rsidRDefault="00D25DBA">
      <w:pPr>
        <w:tabs>
          <w:tab w:val="center" w:pos="3023"/>
        </w:tabs>
        <w:spacing w:after="19" w:line="259" w:lineRule="auto"/>
        <w:ind w:left="0" w:right="0" w:firstLine="0"/>
        <w:jc w:val="left"/>
      </w:pPr>
      <w:r>
        <w:continuationSeparator/>
      </w:r>
    </w:p>
  </w:footnote>
  <w:footnote w:id="1">
    <w:p w14:paraId="4CBFDB60" w14:textId="77777777" w:rsidR="0030315B" w:rsidRDefault="00D25DBA">
      <w:pPr>
        <w:pStyle w:val="footnotedescription"/>
        <w:tabs>
          <w:tab w:val="center" w:pos="3023"/>
        </w:tabs>
        <w:spacing w:after="19" w:line="259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Megtalalálható</w:t>
      </w:r>
      <w:proofErr w:type="spellEnd"/>
      <w:r>
        <w:t xml:space="preserve"> </w:t>
      </w:r>
      <w:proofErr w:type="spellStart"/>
      <w:r>
        <w:t>román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 a </w:t>
      </w:r>
      <w:proofErr w:type="spellStart"/>
      <w:r>
        <w:t>Képviselőház</w:t>
      </w:r>
      <w:proofErr w:type="spellEnd"/>
      <w:r>
        <w:t xml:space="preserve"> </w:t>
      </w:r>
      <w:proofErr w:type="spellStart"/>
      <w:r>
        <w:t>honlapján</w:t>
      </w:r>
      <w:proofErr w:type="spellEnd"/>
      <w:r>
        <w:t xml:space="preserve"> </w:t>
      </w:r>
    </w:p>
    <w:p w14:paraId="774FD8AC" w14:textId="77777777" w:rsidR="0030315B" w:rsidRDefault="00D25DBA">
      <w:pPr>
        <w:pStyle w:val="footnotedescription"/>
        <w:spacing w:after="198" w:line="275" w:lineRule="auto"/>
      </w:pPr>
      <w:hyperlink r:id="rId1">
        <w:r>
          <w:t>(</w:t>
        </w:r>
      </w:hyperlink>
      <w:hyperlink r:id="rId2">
        <w:r>
          <w:rPr>
            <w:color w:val="000080"/>
            <w:u w:val="single" w:color="000080"/>
          </w:rPr>
          <w:t>http://www.cdep.ro/pls/proiecte/upl_pck.proiect?cam=2&amp;idp=5659</w:t>
        </w:r>
      </w:hyperlink>
      <w:hyperlink r:id="rId3">
        <w:r>
          <w:t>)</w:t>
        </w:r>
      </w:hyperlink>
      <w:r>
        <w:t xml:space="preserve"> a </w:t>
      </w:r>
      <w:proofErr w:type="spellStart"/>
      <w:r>
        <w:t>hozzátartozó</w:t>
      </w:r>
      <w:proofErr w:type="spellEnd"/>
      <w:r>
        <w:t xml:space="preserve"> </w:t>
      </w:r>
      <w:proofErr w:type="spellStart"/>
      <w:r>
        <w:t>járulékos</w:t>
      </w:r>
      <w:proofErr w:type="spellEnd"/>
      <w:r>
        <w:t xml:space="preserve"> </w:t>
      </w:r>
      <w:proofErr w:type="spellStart"/>
      <w:r>
        <w:t>dokumentumokkal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>.</w:t>
      </w:r>
    </w:p>
  </w:footnote>
  <w:footnote w:id="2">
    <w:p w14:paraId="4D3846C7" w14:textId="77777777" w:rsidR="0030315B" w:rsidRDefault="00D25DBA">
      <w:pPr>
        <w:pStyle w:val="footnotedescription"/>
        <w:tabs>
          <w:tab w:val="center" w:pos="3023"/>
        </w:tabs>
        <w:spacing w:after="21" w:line="259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Megtalalálható</w:t>
      </w:r>
      <w:proofErr w:type="spellEnd"/>
      <w:r>
        <w:t xml:space="preserve"> </w:t>
      </w:r>
      <w:proofErr w:type="spellStart"/>
      <w:r>
        <w:t>román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 a </w:t>
      </w:r>
      <w:proofErr w:type="spellStart"/>
      <w:r>
        <w:t>Képviselőház</w:t>
      </w:r>
      <w:proofErr w:type="spellEnd"/>
      <w:r>
        <w:t xml:space="preserve"> </w:t>
      </w:r>
      <w:proofErr w:type="spellStart"/>
      <w:r>
        <w:t>honlapján</w:t>
      </w:r>
      <w:proofErr w:type="spellEnd"/>
      <w:r>
        <w:t xml:space="preserve"> </w:t>
      </w:r>
    </w:p>
    <w:p w14:paraId="030029B9" w14:textId="77777777" w:rsidR="0030315B" w:rsidRDefault="00D25DBA">
      <w:pPr>
        <w:pStyle w:val="footnotedescription"/>
        <w:spacing w:after="0" w:line="273" w:lineRule="auto"/>
      </w:pPr>
      <w:hyperlink r:id="rId4">
        <w:r>
          <w:t>(</w:t>
        </w:r>
      </w:hyperlink>
      <w:hyperlink r:id="rId5">
        <w:r>
          <w:rPr>
            <w:color w:val="000080"/>
            <w:u w:val="single" w:color="000080"/>
          </w:rPr>
          <w:t>http://www.cdep.ro/pls/proiecte/upl_pck.proiect?cam=2&amp;idp=5658</w:t>
        </w:r>
      </w:hyperlink>
      <w:hyperlink r:id="rId6">
        <w:r>
          <w:t>)</w:t>
        </w:r>
      </w:hyperlink>
      <w:r>
        <w:t xml:space="preserve"> a </w:t>
      </w:r>
      <w:proofErr w:type="spellStart"/>
      <w:r>
        <w:t>hozzátartozó</w:t>
      </w:r>
      <w:proofErr w:type="spellEnd"/>
      <w:r>
        <w:t xml:space="preserve"> </w:t>
      </w:r>
      <w:proofErr w:type="spellStart"/>
      <w:r>
        <w:t>járulékos</w:t>
      </w:r>
      <w:proofErr w:type="spellEnd"/>
      <w:r>
        <w:t xml:space="preserve"> </w:t>
      </w:r>
      <w:proofErr w:type="spellStart"/>
      <w:r>
        <w:t>dokumentumokkal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C48F" w14:textId="3B063EF3" w:rsidR="00055878" w:rsidRDefault="0005587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9A9C026" wp14:editId="36289188">
          <wp:simplePos x="0" y="0"/>
          <wp:positionH relativeFrom="column">
            <wp:posOffset>-800100</wp:posOffset>
          </wp:positionH>
          <wp:positionV relativeFrom="paragraph">
            <wp:posOffset>-447675</wp:posOffset>
          </wp:positionV>
          <wp:extent cx="7526020" cy="1006475"/>
          <wp:effectExtent l="0" t="0" r="0" b="317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NT-SZNT_kuldgyul2018_Fejleces-01-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020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54C62"/>
    <w:multiLevelType w:val="hybridMultilevel"/>
    <w:tmpl w:val="377E5830"/>
    <w:lvl w:ilvl="0" w:tplc="9ED85D0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8BF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AD7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265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2E3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03E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45E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0BF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819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5B"/>
    <w:rsid w:val="00055878"/>
    <w:rsid w:val="0030315B"/>
    <w:rsid w:val="00D2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8F71"/>
  <w15:docId w15:val="{029F1F32-7698-4602-9CF6-69E37563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8" w:line="249" w:lineRule="auto"/>
      <w:ind w:left="10" w:right="11" w:hanging="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0" w:line="266" w:lineRule="auto"/>
    </w:pPr>
    <w:rPr>
      <w:rFonts w:ascii="Times New Roman" w:eastAsia="Times New Roman" w:hAnsi="Times New Roman" w:cs="Times New Roman"/>
      <w:color w:val="00000A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A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78"/>
    <w:rPr>
      <w:rFonts w:ascii="Times New Roman" w:eastAsia="Times New Roman" w:hAnsi="Times New Roman" w:cs="Times New Roman"/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05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78"/>
    <w:rPr>
      <w:rFonts w:ascii="Times New Roman" w:eastAsia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ep.ro/pls/proiecte/upl_pck.proiect?cam=2&amp;idp=5659" TargetMode="External"/><Relationship Id="rId2" Type="http://schemas.openxmlformats.org/officeDocument/2006/relationships/hyperlink" Target="http://www.cdep.ro/pls/proiecte/upl_pck.proiect?cam=2&amp;idp=5659" TargetMode="External"/><Relationship Id="rId1" Type="http://schemas.openxmlformats.org/officeDocument/2006/relationships/hyperlink" Target="http://www.cdep.ro/pls/proiecte/upl_pck.proiect?cam=2&amp;idp=5659" TargetMode="External"/><Relationship Id="rId6" Type="http://schemas.openxmlformats.org/officeDocument/2006/relationships/hyperlink" Target="http://www.cdep.ro/pls/proiecte/upl_pck.proiect?cam=2&amp;idp=5658" TargetMode="External"/><Relationship Id="rId5" Type="http://schemas.openxmlformats.org/officeDocument/2006/relationships/hyperlink" Target="http://www.cdep.ro/pls/proiecte/upl_pck.proiect?cam=2&amp;idp=5658" TargetMode="External"/><Relationship Id="rId4" Type="http://schemas.openxmlformats.org/officeDocument/2006/relationships/hyperlink" Target="http://www.cdep.ro/pls/proiecte/upl_pck.proiect?cam=2&amp;idp=56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Toró T. Tibor</dc:creator>
  <cp:keywords/>
  <cp:lastModifiedBy>T450</cp:lastModifiedBy>
  <cp:revision>2</cp:revision>
  <dcterms:created xsi:type="dcterms:W3CDTF">2018-10-28T11:41:00Z</dcterms:created>
  <dcterms:modified xsi:type="dcterms:W3CDTF">2018-10-28T11:41:00Z</dcterms:modified>
</cp:coreProperties>
</file>