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9AEF" w14:textId="77777777" w:rsidR="000F25DA" w:rsidRPr="00822166" w:rsidRDefault="006C6567">
      <w:pPr>
        <w:spacing w:after="804" w:line="259" w:lineRule="auto"/>
        <w:ind w:left="0" w:right="3" w:firstLine="0"/>
        <w:jc w:val="center"/>
        <w:rPr>
          <w:lang w:val="hu-HU"/>
        </w:rPr>
      </w:pPr>
      <w:r w:rsidRPr="00822166">
        <w:rPr>
          <w:b/>
          <w:lang w:val="hu-HU"/>
        </w:rPr>
        <w:t>Javaslat Románia közigazgatásának átalakítására</w:t>
      </w:r>
    </w:p>
    <w:p w14:paraId="1A266C7D" w14:textId="77777777" w:rsidR="000F25DA" w:rsidRPr="00822166" w:rsidRDefault="006C6567">
      <w:pPr>
        <w:spacing w:after="10"/>
        <w:ind w:left="-15" w:firstLine="0"/>
        <w:rPr>
          <w:lang w:val="hu-HU"/>
        </w:rPr>
      </w:pPr>
      <w:r w:rsidRPr="00822166">
        <w:rPr>
          <w:lang w:val="hu-HU"/>
        </w:rPr>
        <w:t>Hivatkozással</w:t>
      </w:r>
    </w:p>
    <w:p w14:paraId="4F1CAA96" w14:textId="77777777" w:rsidR="000F25DA" w:rsidRPr="00822166" w:rsidRDefault="006C6567">
      <w:pPr>
        <w:numPr>
          <w:ilvl w:val="0"/>
          <w:numId w:val="1"/>
        </w:numPr>
        <w:spacing w:after="0"/>
        <w:ind w:firstLine="708"/>
        <w:rPr>
          <w:lang w:val="hu-HU"/>
        </w:rPr>
      </w:pPr>
      <w:r w:rsidRPr="00822166">
        <w:rPr>
          <w:lang w:val="hu-HU"/>
        </w:rPr>
        <w:t>az idén 100 éves Gyulafehérvári Nyilatkozatra, utalva annak az együtt előnemzetiségek oktatási, adminisztratív és bíráskodási önrendelkezésére és képviseleti jogára (</w:t>
      </w:r>
      <w:proofErr w:type="gramStart"/>
      <w:r w:rsidRPr="00822166">
        <w:rPr>
          <w:lang w:val="hu-HU"/>
        </w:rPr>
        <w:t>III./</w:t>
      </w:r>
      <w:proofErr w:type="gramEnd"/>
      <w:r w:rsidRPr="00822166">
        <w:rPr>
          <w:lang w:val="hu-HU"/>
        </w:rPr>
        <w:t>1), továbbá a felekezeti autonómiájára (III./2) tett ígéretre;</w:t>
      </w:r>
    </w:p>
    <w:p w14:paraId="19C918A8" w14:textId="77777777" w:rsidR="000F25DA" w:rsidRPr="00822166" w:rsidRDefault="006C6567">
      <w:pPr>
        <w:numPr>
          <w:ilvl w:val="0"/>
          <w:numId w:val="1"/>
        </w:numPr>
        <w:spacing w:after="0"/>
        <w:ind w:firstLine="708"/>
        <w:rPr>
          <w:lang w:val="hu-HU"/>
        </w:rPr>
      </w:pPr>
      <w:r w:rsidRPr="00822166">
        <w:rPr>
          <w:lang w:val="hu-HU"/>
        </w:rPr>
        <w:t>Románia hatályos közigazgatási törvényére (215/2001), különös tekintettel a helyiautonómiára (3., 4. artikulus), az önkormányzati társulások létrehozására és működésére (art. 11.-15.), a nyelvhasználati jogra (art. 17.), a területi egységek lehatárolására (art. 20.) vonatkozó passzusokra;</w:t>
      </w:r>
    </w:p>
    <w:p w14:paraId="52C3A88A" w14:textId="77777777" w:rsidR="000F25DA" w:rsidRPr="00822166" w:rsidRDefault="006C6567">
      <w:pPr>
        <w:numPr>
          <w:ilvl w:val="0"/>
          <w:numId w:val="1"/>
        </w:numPr>
        <w:spacing w:after="0"/>
        <w:ind w:firstLine="708"/>
        <w:rPr>
          <w:lang w:val="hu-HU"/>
        </w:rPr>
      </w:pPr>
      <w:r w:rsidRPr="00822166">
        <w:rPr>
          <w:lang w:val="hu-HU"/>
        </w:rPr>
        <w:t>az Erdélyi Magyar Néppárt 2014-ben bemutatott „Kerettörvény a régiókról” címűtörvénytervezetére, és a „Javaslat Románia regionális átalakítására” című 2013-as dokumentumra;</w:t>
      </w:r>
    </w:p>
    <w:p w14:paraId="3725A939" w14:textId="77777777" w:rsidR="000F25DA" w:rsidRPr="00822166" w:rsidRDefault="006C6567">
      <w:pPr>
        <w:numPr>
          <w:ilvl w:val="0"/>
          <w:numId w:val="1"/>
        </w:numPr>
        <w:spacing w:after="0"/>
        <w:ind w:firstLine="708"/>
        <w:rPr>
          <w:lang w:val="hu-HU"/>
        </w:rPr>
      </w:pPr>
      <w:r w:rsidRPr="00822166">
        <w:rPr>
          <w:lang w:val="hu-HU"/>
        </w:rPr>
        <w:t>a kisebbségi jogok tekintetében mintaértékű magyarországi jogszabályokra, úgymint a 2016/150-es Általános Közigazgatási Rendtartásról szóló térvény kisebbségi nyelvhasználatról szóló része (20. artikulus); a 2011/179-es, a Nemzetiségek jogairól szóló törvény Nemzetiségi kulturális autonómiára (V. fejezet) és a Nemzetiségi önkormányzatokra</w:t>
      </w:r>
    </w:p>
    <w:p w14:paraId="3AD9C98C" w14:textId="77777777" w:rsidR="000F25DA" w:rsidRPr="00822166" w:rsidRDefault="006C6567">
      <w:pPr>
        <w:ind w:left="-15" w:firstLine="0"/>
        <w:rPr>
          <w:lang w:val="hu-HU"/>
        </w:rPr>
      </w:pPr>
      <w:r w:rsidRPr="00822166">
        <w:rPr>
          <w:lang w:val="hu-HU"/>
        </w:rPr>
        <w:t>(VI. fejezet) vonatkozó részeire</w:t>
      </w:r>
    </w:p>
    <w:p w14:paraId="5015D188" w14:textId="77777777" w:rsidR="000F25DA" w:rsidRPr="00822166" w:rsidRDefault="006C6567">
      <w:pPr>
        <w:spacing w:after="0" w:line="259" w:lineRule="auto"/>
        <w:ind w:left="0" w:right="17" w:firstLine="0"/>
        <w:jc w:val="right"/>
        <w:rPr>
          <w:lang w:val="hu-HU"/>
        </w:rPr>
      </w:pPr>
      <w:r w:rsidRPr="00822166">
        <w:rPr>
          <w:lang w:val="hu-HU"/>
        </w:rPr>
        <w:t>az Erdélyi Magyar Nemzeti Tanács és a Székely Nemzeti Tanács 2018. október 27.-i</w:t>
      </w:r>
    </w:p>
    <w:p w14:paraId="701427CB" w14:textId="77777777" w:rsidR="000F25DA" w:rsidRPr="00822166" w:rsidRDefault="006C6567">
      <w:pPr>
        <w:ind w:left="-15" w:firstLine="0"/>
        <w:rPr>
          <w:lang w:val="hu-HU"/>
        </w:rPr>
      </w:pPr>
      <w:r w:rsidRPr="00822166">
        <w:rPr>
          <w:lang w:val="hu-HU"/>
        </w:rPr>
        <w:t>közös küldöttgyűlésén javasoljuk:</w:t>
      </w:r>
    </w:p>
    <w:p w14:paraId="50478B55" w14:textId="77777777" w:rsidR="000F25DA" w:rsidRPr="00822166" w:rsidRDefault="006C6567">
      <w:pPr>
        <w:numPr>
          <w:ilvl w:val="0"/>
          <w:numId w:val="2"/>
        </w:numPr>
        <w:ind w:hanging="360"/>
        <w:rPr>
          <w:lang w:val="hu-HU"/>
        </w:rPr>
      </w:pPr>
      <w:r w:rsidRPr="00822166">
        <w:rPr>
          <w:lang w:val="hu-HU"/>
        </w:rPr>
        <w:t>Románia regionális felépítésének történelmi alapokon és valós identitásokon nyugvó átalakítását és közigazgatási tartalom</w:t>
      </w:r>
      <w:bookmarkStart w:id="0" w:name="_GoBack"/>
      <w:bookmarkEnd w:id="0"/>
      <w:r w:rsidRPr="00822166">
        <w:rPr>
          <w:lang w:val="hu-HU"/>
        </w:rPr>
        <w:t>mal való feltöltését. Meggyőződésünk, hogy az állampolgárok által ismert, valós érzelmi, történelmi és gazdasági kapcsolatokkal átszőtt, helyi értékeket és erőforrásokat felismerő és azokra támaszkodó regionális rendszer lehet képes a fenntartható fejlődésre, a népességmegtartásra, csak az teheti sikeressé a helyi közösségeket az Európai Unióban. A Küldöttgyűlés támogatja az Erdélyi Magyar Néppárt régiókról szóló 2013-as (Javaslat Románia regionális átalakítására) és 2014-es (Kerettörvény a régiókról) előterjesztéseit.</w:t>
      </w:r>
    </w:p>
    <w:p w14:paraId="63B92DFE" w14:textId="78613D51" w:rsidR="000F25DA" w:rsidRPr="00822166" w:rsidRDefault="006C6567">
      <w:pPr>
        <w:numPr>
          <w:ilvl w:val="0"/>
          <w:numId w:val="2"/>
        </w:numPr>
        <w:ind w:hanging="360"/>
        <w:rPr>
          <w:lang w:val="hu-HU"/>
        </w:rPr>
      </w:pPr>
      <w:r w:rsidRPr="00822166">
        <w:rPr>
          <w:lang w:val="hu-HU"/>
        </w:rPr>
        <w:t xml:space="preserve">Szükségesnek tartjuk és szorgalmazzuk egyes történelmi megyék (és </w:t>
      </w:r>
      <w:r w:rsidR="00E07192">
        <w:rPr>
          <w:lang w:val="hu-HU"/>
        </w:rPr>
        <w:t>az egységes Székelyföld</w:t>
      </w:r>
      <w:r w:rsidRPr="00822166">
        <w:rPr>
          <w:lang w:val="hu-HU"/>
        </w:rPr>
        <w:t xml:space="preserve">) </w:t>
      </w:r>
      <w:proofErr w:type="spellStart"/>
      <w:r w:rsidRPr="00822166">
        <w:rPr>
          <w:lang w:val="hu-HU"/>
        </w:rPr>
        <w:t>újraalapítását</w:t>
      </w:r>
      <w:proofErr w:type="spellEnd"/>
      <w:r w:rsidRPr="00822166">
        <w:rPr>
          <w:lang w:val="hu-HU"/>
        </w:rPr>
        <w:t>, amennyiben a megszűntetett egység népessége a helyi természeti és társadalmi erőforrásokra támaszkodva képes volt megőrizni térségi identitását; illetve a terület rendelkezik egy, megyeszékhelyi funkció ellátására alkalmas vonzáskörzeti központtal.</w:t>
      </w:r>
    </w:p>
    <w:p w14:paraId="52265B9D" w14:textId="77777777" w:rsidR="000F25DA" w:rsidRPr="00822166" w:rsidRDefault="006C6567">
      <w:pPr>
        <w:numPr>
          <w:ilvl w:val="0"/>
          <w:numId w:val="2"/>
        </w:numPr>
        <w:ind w:hanging="360"/>
        <w:rPr>
          <w:lang w:val="hu-HU"/>
        </w:rPr>
      </w:pPr>
      <w:r w:rsidRPr="00822166">
        <w:rPr>
          <w:lang w:val="hu-HU"/>
        </w:rPr>
        <w:t>Szükségesnek tartjuk és szorgalmazzuk a jelenlegi megyehatárok módosítását, a helyi igény függvényében, amennyiben azok korábban összetartozó tradicionális néprajzi tájakat és koherens földrajzi egységeket szelnek ketté (pl. Kalotaszeg, Tövishát, Aranyosszék stb.).</w:t>
      </w:r>
    </w:p>
    <w:p w14:paraId="249576EB" w14:textId="77777777" w:rsidR="000F25DA" w:rsidRPr="00822166" w:rsidRDefault="006C6567">
      <w:pPr>
        <w:numPr>
          <w:ilvl w:val="0"/>
          <w:numId w:val="2"/>
        </w:numPr>
        <w:ind w:hanging="360"/>
        <w:rPr>
          <w:lang w:val="hu-HU"/>
        </w:rPr>
      </w:pPr>
      <w:r w:rsidRPr="00822166">
        <w:rPr>
          <w:lang w:val="hu-HU"/>
        </w:rPr>
        <w:t xml:space="preserve">Szükségesnek tarjuk és szorgalmazzuk az egyes megyék és történelmi székek területén fekvő, magyarok által </w:t>
      </w:r>
      <w:r w:rsidRPr="00822166">
        <w:rPr>
          <w:color w:val="000000"/>
          <w:lang w:val="hu-HU"/>
        </w:rPr>
        <w:t xml:space="preserve">többségben </w:t>
      </w:r>
      <w:r w:rsidRPr="00822166">
        <w:rPr>
          <w:lang w:val="hu-HU"/>
        </w:rPr>
        <w:t xml:space="preserve">lakott önkormányzatok </w:t>
      </w:r>
      <w:r w:rsidRPr="00822166">
        <w:rPr>
          <w:i/>
          <w:lang w:val="hu-HU"/>
        </w:rPr>
        <w:t xml:space="preserve">önkormányzati szövetségekbe </w:t>
      </w:r>
      <w:r w:rsidRPr="00822166">
        <w:rPr>
          <w:i/>
          <w:lang w:val="hu-HU"/>
        </w:rPr>
        <w:lastRenderedPageBreak/>
        <w:t>(</w:t>
      </w:r>
      <w:proofErr w:type="spellStart"/>
      <w:r w:rsidRPr="00822166">
        <w:rPr>
          <w:i/>
          <w:lang w:val="hu-HU"/>
        </w:rPr>
        <w:t>asociații</w:t>
      </w:r>
      <w:proofErr w:type="spellEnd"/>
      <w:r w:rsidRPr="00822166">
        <w:rPr>
          <w:i/>
          <w:lang w:val="hu-HU"/>
        </w:rPr>
        <w:t xml:space="preserve"> </w:t>
      </w:r>
      <w:proofErr w:type="spellStart"/>
      <w:r w:rsidRPr="00822166">
        <w:rPr>
          <w:i/>
          <w:lang w:val="hu-HU"/>
        </w:rPr>
        <w:t>intercomunitare</w:t>
      </w:r>
      <w:proofErr w:type="spellEnd"/>
      <w:r w:rsidRPr="00822166">
        <w:rPr>
          <w:i/>
          <w:lang w:val="hu-HU"/>
        </w:rPr>
        <w:t>)</w:t>
      </w:r>
      <w:r w:rsidRPr="00822166">
        <w:rPr>
          <w:lang w:val="hu-HU"/>
        </w:rPr>
        <w:t xml:space="preserve"> való tömörülését, élve a romániai közigazgatási törvény által nyújtott lehetőséggel. </w:t>
      </w:r>
    </w:p>
    <w:p w14:paraId="14FFE9E5" w14:textId="77777777" w:rsidR="000F25DA" w:rsidRPr="00822166" w:rsidRDefault="006C6567">
      <w:pPr>
        <w:numPr>
          <w:ilvl w:val="0"/>
          <w:numId w:val="2"/>
        </w:numPr>
        <w:ind w:hanging="360"/>
        <w:rPr>
          <w:lang w:val="hu-HU"/>
        </w:rPr>
      </w:pPr>
      <w:r w:rsidRPr="00822166">
        <w:rPr>
          <w:lang w:val="hu-HU"/>
        </w:rPr>
        <w:t xml:space="preserve">A helyi közösségek és nemzeti kisebbségek védelme érdekében szorgalmazzuk a községek alulról történő újjászervezését. Minden olyan esetben szükségesnek tarjuk a módosítást, ahol a közös önkormányzatot alkotó települések valamelyike kifejezi leválási, vagy valamely szomszédos egységhez történő átcsatlakozási szándékát. A nemzeti kisebbségek közösségei fokozottan ki vannak téve az asszimiláció veszélyének a vegyes népességű községekben, így különösképpen fontosnak tartjuk az ilyen települések önállósodását, vagy a lehetőségeknek és a helyi igényeknek megfelelően, hasonló közösséggel már rendelkező önkormányzatokhoz való átsorolását. </w:t>
      </w:r>
    </w:p>
    <w:p w14:paraId="38BCA579" w14:textId="77777777" w:rsidR="000F25DA" w:rsidRPr="00822166" w:rsidRDefault="006C6567">
      <w:pPr>
        <w:numPr>
          <w:ilvl w:val="0"/>
          <w:numId w:val="2"/>
        </w:numPr>
        <w:spacing w:after="1065"/>
        <w:ind w:hanging="360"/>
        <w:rPr>
          <w:lang w:val="hu-HU"/>
        </w:rPr>
      </w:pPr>
      <w:r w:rsidRPr="00822166">
        <w:rPr>
          <w:lang w:val="hu-HU"/>
        </w:rPr>
        <w:t>Azon önkormányzatokban, amelyekben az őshonos nemzeti kisebbségek települési szinten is kisebbséget alkotnak, magyarországi mintára javasoljuk a kisebbségi önkormányzatok megalakítását.</w:t>
      </w:r>
    </w:p>
    <w:p w14:paraId="3824DE09" w14:textId="77777777" w:rsidR="000F25DA" w:rsidRPr="00822166" w:rsidRDefault="006C6567">
      <w:pPr>
        <w:ind w:left="-15" w:firstLine="0"/>
        <w:rPr>
          <w:lang w:val="hu-HU"/>
        </w:rPr>
      </w:pPr>
      <w:r w:rsidRPr="00822166">
        <w:rPr>
          <w:lang w:val="hu-HU"/>
        </w:rPr>
        <w:t>Marosvásárhely, 2018. október 27.</w:t>
      </w:r>
    </w:p>
    <w:sectPr w:rsidR="000F25DA" w:rsidRPr="00822166">
      <w:headerReference w:type="default" r:id="rId7"/>
      <w:pgSz w:w="11900" w:h="16840"/>
      <w:pgMar w:top="1428" w:right="1410" w:bottom="1898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ADE8A" w14:textId="77777777" w:rsidR="00741D06" w:rsidRDefault="00741D06" w:rsidP="00822166">
      <w:pPr>
        <w:spacing w:after="0" w:line="240" w:lineRule="auto"/>
      </w:pPr>
      <w:r>
        <w:separator/>
      </w:r>
    </w:p>
  </w:endnote>
  <w:endnote w:type="continuationSeparator" w:id="0">
    <w:p w14:paraId="316BDBC8" w14:textId="77777777" w:rsidR="00741D06" w:rsidRDefault="00741D06" w:rsidP="00822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AE95" w14:textId="77777777" w:rsidR="00741D06" w:rsidRDefault="00741D06" w:rsidP="00822166">
      <w:pPr>
        <w:spacing w:after="0" w:line="240" w:lineRule="auto"/>
      </w:pPr>
      <w:r>
        <w:separator/>
      </w:r>
    </w:p>
  </w:footnote>
  <w:footnote w:type="continuationSeparator" w:id="0">
    <w:p w14:paraId="6B2C67D8" w14:textId="77777777" w:rsidR="00741D06" w:rsidRDefault="00741D06" w:rsidP="00822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E11F3" w14:textId="6A0D6BDC" w:rsidR="00822166" w:rsidRDefault="00822166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1FEFBD9C" wp14:editId="61CEFB03">
          <wp:simplePos x="0" y="0"/>
          <wp:positionH relativeFrom="column">
            <wp:posOffset>-904875</wp:posOffset>
          </wp:positionH>
          <wp:positionV relativeFrom="paragraph">
            <wp:posOffset>-428625</wp:posOffset>
          </wp:positionV>
          <wp:extent cx="7526020" cy="1006475"/>
          <wp:effectExtent l="0" t="0" r="0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NT-SZNT_kuldgyul2018_Fejleces-01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020" cy="1006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63EBD"/>
    <w:multiLevelType w:val="hybridMultilevel"/>
    <w:tmpl w:val="3B44006C"/>
    <w:lvl w:ilvl="0" w:tplc="670EEBA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FA1E2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668A6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4AD8F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62F9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4CC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58C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54F8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22E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E273EC"/>
    <w:multiLevelType w:val="hybridMultilevel"/>
    <w:tmpl w:val="ECA4D4BE"/>
    <w:lvl w:ilvl="0" w:tplc="369C617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E816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A39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DE7E7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0639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F29C9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C251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CBF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6E1F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5DA"/>
    <w:rsid w:val="000F25DA"/>
    <w:rsid w:val="006C6567"/>
    <w:rsid w:val="00741D06"/>
    <w:rsid w:val="00822166"/>
    <w:rsid w:val="00E0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9895"/>
  <w15:docId w15:val="{029F1F32-7698-4602-9CF6-69E37563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64" w:line="249" w:lineRule="auto"/>
      <w:ind w:left="370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166"/>
    <w:rPr>
      <w:rFonts w:ascii="Times New Roman" w:eastAsia="Times New Roman" w:hAnsi="Times New Roman" w:cs="Times New Roman"/>
      <w:color w:val="00000A"/>
      <w:sz w:val="24"/>
    </w:rPr>
  </w:style>
  <w:style w:type="paragraph" w:styleId="Footer">
    <w:name w:val="footer"/>
    <w:basedOn w:val="Normal"/>
    <w:link w:val="FooterChar"/>
    <w:uiPriority w:val="99"/>
    <w:unhideWhenUsed/>
    <w:rsid w:val="00822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166"/>
    <w:rPr>
      <w:rFonts w:ascii="Times New Roman" w:eastAsia="Times New Roman" w:hAnsi="Times New Roman" w:cs="Times New Roman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cp:lastModifiedBy>T450</cp:lastModifiedBy>
  <cp:revision>3</cp:revision>
  <dcterms:created xsi:type="dcterms:W3CDTF">2018-10-28T11:24:00Z</dcterms:created>
  <dcterms:modified xsi:type="dcterms:W3CDTF">2018-10-28T11:39:00Z</dcterms:modified>
</cp:coreProperties>
</file>